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6AE0" w14:textId="524A0C83" w:rsidR="00F617CE" w:rsidRDefault="00F617CE" w:rsidP="00F617CE">
      <w:pPr>
        <w:rPr>
          <w:rFonts w:ascii="Times New Roman" w:hAnsi="Times New Roman" w:cs="Times New Roman"/>
          <w:lang w:val="en-CA"/>
        </w:rPr>
      </w:pPr>
      <w:r>
        <w:rPr>
          <w:noProof/>
        </w:rPr>
        <w:drawing>
          <wp:inline distT="0" distB="0" distL="0" distR="0" wp14:anchorId="7DCECD03" wp14:editId="5890F691">
            <wp:extent cx="914400" cy="83766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375" cy="838559"/>
                    </a:xfrm>
                    <a:prstGeom prst="rect">
                      <a:avLst/>
                    </a:prstGeom>
                    <a:noFill/>
                    <a:ln>
                      <a:noFill/>
                    </a:ln>
                  </pic:spPr>
                </pic:pic>
              </a:graphicData>
            </a:graphic>
          </wp:inline>
        </w:drawing>
      </w:r>
    </w:p>
    <w:p w14:paraId="5320042E" w14:textId="6D43D8E5" w:rsidR="00705895" w:rsidRDefault="00705895" w:rsidP="00705895">
      <w:pPr>
        <w:jc w:val="center"/>
        <w:rPr>
          <w:rFonts w:ascii="Times New Roman" w:hAnsi="Times New Roman" w:cs="Times New Roman"/>
          <w:lang w:val="en-CA"/>
        </w:rPr>
      </w:pPr>
      <w:r>
        <w:rPr>
          <w:rFonts w:ascii="Times New Roman" w:hAnsi="Times New Roman" w:cs="Times New Roman"/>
          <w:lang w:val="en-CA"/>
        </w:rPr>
        <w:t>VIUFA 2017 AGM Report</w:t>
      </w:r>
    </w:p>
    <w:p w14:paraId="0F1E6400" w14:textId="0E4D3673" w:rsidR="00D22236" w:rsidRDefault="00705895" w:rsidP="00705895">
      <w:pPr>
        <w:jc w:val="center"/>
        <w:rPr>
          <w:rFonts w:ascii="Times New Roman" w:hAnsi="Times New Roman" w:cs="Times New Roman"/>
          <w:lang w:val="en-CA"/>
        </w:rPr>
      </w:pPr>
      <w:r>
        <w:rPr>
          <w:rFonts w:ascii="Times New Roman" w:hAnsi="Times New Roman" w:cs="Times New Roman"/>
          <w:lang w:val="en-CA"/>
        </w:rPr>
        <w:t>Budgetary Analysis Chair</w:t>
      </w:r>
    </w:p>
    <w:p w14:paraId="5EE4AAE5" w14:textId="77777777" w:rsidR="00705895" w:rsidRDefault="00705895" w:rsidP="00705895">
      <w:pPr>
        <w:jc w:val="center"/>
        <w:rPr>
          <w:rFonts w:ascii="Times New Roman" w:hAnsi="Times New Roman" w:cs="Times New Roman"/>
          <w:lang w:val="en-CA"/>
        </w:rPr>
      </w:pPr>
    </w:p>
    <w:p w14:paraId="057D0E01" w14:textId="298EE4AD" w:rsidR="00705895" w:rsidRDefault="00705895" w:rsidP="00705895">
      <w:pPr>
        <w:rPr>
          <w:rFonts w:ascii="Times New Roman" w:hAnsi="Times New Roman" w:cs="Times New Roman"/>
          <w:lang w:val="en-CA"/>
        </w:rPr>
      </w:pPr>
      <w:r>
        <w:rPr>
          <w:rFonts w:ascii="Times New Roman" w:hAnsi="Times New Roman" w:cs="Times New Roman"/>
          <w:lang w:val="en-CA"/>
        </w:rPr>
        <w:t xml:space="preserve">The Budgetary Analysis position on the VIUFA Executive has, this year, involved a wide range of committee work as well as the evolving regular duties of the position.  </w:t>
      </w:r>
    </w:p>
    <w:p w14:paraId="285D76B5" w14:textId="77777777" w:rsidR="00411545" w:rsidRDefault="00411545" w:rsidP="00705895">
      <w:pPr>
        <w:rPr>
          <w:rFonts w:ascii="Times New Roman" w:hAnsi="Times New Roman" w:cs="Times New Roman"/>
          <w:lang w:val="en-CA"/>
        </w:rPr>
      </w:pPr>
    </w:p>
    <w:p w14:paraId="1D9C5411" w14:textId="51174C40" w:rsidR="00A87443" w:rsidRDefault="00411545" w:rsidP="00705895">
      <w:pPr>
        <w:rPr>
          <w:rFonts w:ascii="Times New Roman" w:hAnsi="Times New Roman" w:cs="Times New Roman"/>
          <w:lang w:val="en-CA"/>
        </w:rPr>
      </w:pPr>
      <w:r>
        <w:rPr>
          <w:rFonts w:ascii="Times New Roman" w:hAnsi="Times New Roman" w:cs="Times New Roman"/>
          <w:lang w:val="en-CA"/>
        </w:rPr>
        <w:t>F</w:t>
      </w:r>
      <w:r w:rsidR="0071178C">
        <w:rPr>
          <w:rFonts w:ascii="Times New Roman" w:hAnsi="Times New Roman" w:cs="Times New Roman"/>
          <w:lang w:val="en-CA"/>
        </w:rPr>
        <w:t xml:space="preserve">oremost </w:t>
      </w:r>
      <w:r>
        <w:rPr>
          <w:rFonts w:ascii="Times New Roman" w:hAnsi="Times New Roman" w:cs="Times New Roman"/>
          <w:lang w:val="en-CA"/>
        </w:rPr>
        <w:t xml:space="preserve">among the </w:t>
      </w:r>
      <w:r w:rsidR="0071178C">
        <w:rPr>
          <w:rFonts w:ascii="Times New Roman" w:hAnsi="Times New Roman" w:cs="Times New Roman"/>
          <w:lang w:val="en-CA"/>
        </w:rPr>
        <w:t xml:space="preserve">responsibilities of the position is to maintain data as it relates to the financial </w:t>
      </w:r>
      <w:r w:rsidR="00A212F6">
        <w:rPr>
          <w:rFonts w:ascii="Times New Roman" w:hAnsi="Times New Roman" w:cs="Times New Roman"/>
          <w:lang w:val="en-CA"/>
        </w:rPr>
        <w:t>position of the Employer</w:t>
      </w:r>
      <w:r w:rsidR="0071178C">
        <w:rPr>
          <w:rFonts w:ascii="Times New Roman" w:hAnsi="Times New Roman" w:cs="Times New Roman"/>
          <w:lang w:val="en-CA"/>
        </w:rPr>
        <w:t xml:space="preserve"> vis-à-vis its responsibilities as laid out in the Collective Agreement Article </w:t>
      </w:r>
      <w:r>
        <w:rPr>
          <w:rFonts w:ascii="Times New Roman" w:hAnsi="Times New Roman" w:cs="Times New Roman"/>
          <w:lang w:val="en-CA"/>
        </w:rPr>
        <w:t xml:space="preserve">6.6; to assist the VIUFA Executive in </w:t>
      </w:r>
      <w:r w:rsidR="00A212F6">
        <w:rPr>
          <w:rFonts w:ascii="Times New Roman" w:hAnsi="Times New Roman" w:cs="Times New Roman"/>
          <w:lang w:val="en-CA"/>
        </w:rPr>
        <w:t>the case where the Employer declares the University</w:t>
      </w:r>
      <w:r w:rsidR="00A87443">
        <w:rPr>
          <w:rFonts w:ascii="Times New Roman" w:hAnsi="Times New Roman" w:cs="Times New Roman"/>
          <w:lang w:val="en-CA"/>
        </w:rPr>
        <w:t xml:space="preserve"> to be in a situation of budgetary shortfall that necessitates layoffs; </w:t>
      </w:r>
      <w:r w:rsidR="00A212F6">
        <w:rPr>
          <w:rFonts w:ascii="Times New Roman" w:hAnsi="Times New Roman" w:cs="Times New Roman"/>
          <w:lang w:val="en-CA"/>
        </w:rPr>
        <w:t xml:space="preserve">and, when required, </w:t>
      </w:r>
      <w:r w:rsidR="00A87443">
        <w:rPr>
          <w:rFonts w:ascii="Times New Roman" w:hAnsi="Times New Roman" w:cs="Times New Roman"/>
          <w:lang w:val="en-CA"/>
        </w:rPr>
        <w:t xml:space="preserve">to assist the Chief Steward in finding alternatives to layoff and presenting these options to the University, as outlined in Article 6.6. </w:t>
      </w:r>
      <w:r w:rsidR="00D02047">
        <w:rPr>
          <w:rFonts w:ascii="Times New Roman" w:hAnsi="Times New Roman" w:cs="Times New Roman"/>
          <w:lang w:val="en-CA"/>
        </w:rPr>
        <w:t xml:space="preserve">  This year I developed, with the help of the VIUFA Executive, terms of reference for the BA Chair position.  The terms lay out the responsibilities of the Chair and the purpose and structure of the Budgetary Analysis Committee (to consist of the Chair and at least two other people, to meet at least twice a year).  </w:t>
      </w:r>
    </w:p>
    <w:p w14:paraId="49361C33" w14:textId="77777777" w:rsidR="00A212F6" w:rsidRDefault="00A212F6" w:rsidP="00705895">
      <w:pPr>
        <w:rPr>
          <w:rFonts w:ascii="Times New Roman" w:hAnsi="Times New Roman" w:cs="Times New Roman"/>
          <w:lang w:val="en-CA"/>
        </w:rPr>
      </w:pPr>
    </w:p>
    <w:p w14:paraId="05D51124" w14:textId="77777777" w:rsidR="00D02047" w:rsidRDefault="00D02047" w:rsidP="004C01C6">
      <w:pPr>
        <w:rPr>
          <w:rFonts w:ascii="TimesNewRomanPSMT" w:hAnsi="TimesNewRomanPSMT" w:cs="TimesNewRomanPSMT"/>
        </w:rPr>
      </w:pPr>
      <w:r>
        <w:rPr>
          <w:rFonts w:ascii="Times New Roman" w:hAnsi="Times New Roman" w:cs="Times New Roman"/>
          <w:lang w:val="en-CA"/>
        </w:rPr>
        <w:t>This past October, as in each October of the past few years, the Employer gave official notice</w:t>
      </w:r>
      <w:r w:rsidR="00A212F6">
        <w:rPr>
          <w:rFonts w:ascii="Times New Roman" w:hAnsi="Times New Roman" w:cs="Times New Roman"/>
          <w:lang w:val="en-CA"/>
        </w:rPr>
        <w:t xml:space="preserve"> that layoffs for budgetary reasons might be indicated; each year in December, the Employer fails to give notice of budgetary layoffs. </w:t>
      </w:r>
      <w:r w:rsidR="004C01C6">
        <w:rPr>
          <w:rFonts w:ascii="Times New Roman" w:hAnsi="Times New Roman" w:cs="Times New Roman"/>
          <w:lang w:val="en-CA"/>
        </w:rPr>
        <w:t xml:space="preserve">The good news is that there are no budgetary layoffs this year.   Meanwhile, VIUFA continues to work on ensuring the process is as effective as possible; to this end, </w:t>
      </w:r>
      <w:r w:rsidR="004478D6">
        <w:rPr>
          <w:rFonts w:ascii="Times New Roman" w:hAnsi="Times New Roman" w:cs="Times New Roman"/>
          <w:lang w:val="en-CA"/>
        </w:rPr>
        <w:t>C</w:t>
      </w:r>
      <w:r w:rsidR="004C01C6">
        <w:rPr>
          <w:rFonts w:ascii="Times New Roman" w:hAnsi="Times New Roman" w:cs="Times New Roman"/>
          <w:lang w:val="en-CA"/>
        </w:rPr>
        <w:t xml:space="preserve">hris and I have met with </w:t>
      </w:r>
      <w:r w:rsidR="004478D6">
        <w:rPr>
          <w:rFonts w:ascii="Times New Roman" w:hAnsi="Times New Roman" w:cs="Times New Roman"/>
          <w:lang w:val="en-CA"/>
        </w:rPr>
        <w:t xml:space="preserve">University </w:t>
      </w:r>
      <w:r w:rsidR="004C01C6">
        <w:rPr>
          <w:rFonts w:ascii="Times New Roman" w:hAnsi="Times New Roman" w:cs="Times New Roman"/>
          <w:lang w:val="en-CA"/>
        </w:rPr>
        <w:t>CFO Shell</w:t>
      </w:r>
      <w:r>
        <w:rPr>
          <w:rFonts w:ascii="Times New Roman" w:hAnsi="Times New Roman" w:cs="Times New Roman"/>
          <w:lang w:val="en-CA"/>
        </w:rPr>
        <w:t xml:space="preserve">ey </w:t>
      </w:r>
      <w:proofErr w:type="spellStart"/>
      <w:r>
        <w:rPr>
          <w:rFonts w:ascii="Times New Roman" w:hAnsi="Times New Roman" w:cs="Times New Roman"/>
          <w:lang w:val="en-CA"/>
        </w:rPr>
        <w:t>Le</w:t>
      </w:r>
      <w:r w:rsidR="004C01C6">
        <w:rPr>
          <w:rFonts w:ascii="Times New Roman" w:hAnsi="Times New Roman" w:cs="Times New Roman"/>
          <w:lang w:val="en-CA"/>
        </w:rPr>
        <w:t>gin</w:t>
      </w:r>
      <w:proofErr w:type="spellEnd"/>
      <w:r w:rsidR="004C01C6">
        <w:rPr>
          <w:rFonts w:ascii="Times New Roman" w:hAnsi="Times New Roman" w:cs="Times New Roman"/>
          <w:lang w:val="en-CA"/>
        </w:rPr>
        <w:t xml:space="preserve"> </w:t>
      </w:r>
      <w:r w:rsidR="004478D6">
        <w:rPr>
          <w:rFonts w:ascii="Times New Roman" w:hAnsi="Times New Roman" w:cs="Times New Roman"/>
          <w:lang w:val="en-CA"/>
        </w:rPr>
        <w:t xml:space="preserve">to try to work out </w:t>
      </w:r>
      <w:r w:rsidR="004C01C6">
        <w:rPr>
          <w:rFonts w:ascii="Times New Roman" w:hAnsi="Times New Roman" w:cs="Times New Roman"/>
          <w:lang w:val="en-CA"/>
        </w:rPr>
        <w:t>a process</w:t>
      </w:r>
      <w:r w:rsidR="004478D6">
        <w:rPr>
          <w:rFonts w:ascii="Times New Roman" w:hAnsi="Times New Roman" w:cs="Times New Roman"/>
          <w:lang w:val="en-CA"/>
        </w:rPr>
        <w:t>; this is an ongoing effort.</w:t>
      </w:r>
      <w:r w:rsidR="00411545">
        <w:rPr>
          <w:rFonts w:ascii="TimesNewRomanPSMT" w:hAnsi="TimesNewRomanPSMT" w:cs="TimesNewRomanPSMT"/>
        </w:rPr>
        <w:t xml:space="preserve"> </w:t>
      </w:r>
      <w:r>
        <w:rPr>
          <w:rFonts w:ascii="TimesNewRomanPSMT" w:hAnsi="TimesNewRomanPSMT" w:cs="TimesNewRomanPSMT"/>
        </w:rPr>
        <w:t xml:space="preserve"> </w:t>
      </w:r>
    </w:p>
    <w:p w14:paraId="2EC92508" w14:textId="77777777" w:rsidR="00D02047" w:rsidRDefault="00D02047" w:rsidP="004C01C6">
      <w:pPr>
        <w:rPr>
          <w:rFonts w:ascii="TimesNewRomanPSMT" w:hAnsi="TimesNewRomanPSMT" w:cs="TimesNewRomanPSMT"/>
        </w:rPr>
      </w:pPr>
    </w:p>
    <w:p w14:paraId="7204E6E3" w14:textId="77777777" w:rsidR="00055FA0" w:rsidRDefault="00D02047" w:rsidP="004C01C6">
      <w:pPr>
        <w:rPr>
          <w:rFonts w:ascii="TimesNewRomanPSMT" w:hAnsi="TimesNewRomanPSMT" w:cs="TimesNewRomanPSMT"/>
        </w:rPr>
      </w:pPr>
      <w:r>
        <w:rPr>
          <w:rFonts w:ascii="TimesNewRomanPSMT" w:hAnsi="TimesNewRomanPSMT" w:cs="TimesNewRomanPSMT"/>
        </w:rPr>
        <w:t xml:space="preserve">Should there be budgetary layoffs in future years, it will be incumbent on the BA Chair to provide analysis supporting VIUFA’s position on whether the layoffs are necessary and/or whether there are other remedies to the financial emergency.  To that end, I collect and examine various data that illuminates the financial position of the University.  </w:t>
      </w:r>
    </w:p>
    <w:p w14:paraId="33BE78C4" w14:textId="77777777" w:rsidR="00055FA0" w:rsidRDefault="00055FA0" w:rsidP="004C01C6">
      <w:pPr>
        <w:rPr>
          <w:rFonts w:ascii="TimesNewRomanPSMT" w:hAnsi="TimesNewRomanPSMT" w:cs="TimesNewRomanPSMT"/>
        </w:rPr>
      </w:pPr>
    </w:p>
    <w:p w14:paraId="644D9D28" w14:textId="25D276C2" w:rsidR="004141DC" w:rsidRDefault="00D02047" w:rsidP="004C01C6">
      <w:pPr>
        <w:rPr>
          <w:rFonts w:ascii="TimesNewRomanPSMT" w:hAnsi="TimesNewRomanPSMT" w:cs="TimesNewRomanPSMT"/>
        </w:rPr>
      </w:pPr>
      <w:r>
        <w:rPr>
          <w:rFonts w:ascii="TimesNewRomanPSMT" w:hAnsi="TimesNewRomanPSMT" w:cs="TimesNewRomanPSMT"/>
        </w:rPr>
        <w:t xml:space="preserve">For example, below I have graphed the total compensation to excluded employees at VIU (i.e., </w:t>
      </w:r>
      <w:proofErr w:type="gramStart"/>
      <w:r>
        <w:rPr>
          <w:rFonts w:ascii="TimesNewRomanPSMT" w:hAnsi="TimesNewRomanPSMT" w:cs="TimesNewRomanPSMT"/>
        </w:rPr>
        <w:t>administrators</w:t>
      </w:r>
      <w:proofErr w:type="gramEnd"/>
      <w:r>
        <w:rPr>
          <w:rFonts w:ascii="TimesNewRomanPSMT" w:hAnsi="TimesNewRomanPSMT" w:cs="TimesNewRomanPSMT"/>
        </w:rPr>
        <w:t xml:space="preserve">) as a percentage of the total compensation costs of the VIUFA faculty.  </w:t>
      </w:r>
      <w:r w:rsidR="00055FA0">
        <w:rPr>
          <w:rFonts w:ascii="TimesNewRomanPSMT" w:hAnsi="TimesNewRomanPSMT" w:cs="TimesNewRomanPSMT"/>
        </w:rPr>
        <w:t xml:space="preserve"> I also calculated the same ratio for all the FPSE faculty unions combined (minus VIU and minus the Justice Institute, which is an outlier in most things).  The trend over the years from 2005 to 2015 (the last year for which data is provided by PSEA) is graphed below.  It appears that administration at VIU is growing significantly faster than </w:t>
      </w:r>
      <w:r w:rsidR="008B0F88">
        <w:rPr>
          <w:rFonts w:ascii="TimesNewRomanPSMT" w:hAnsi="TimesNewRomanPSMT" w:cs="TimesNewRomanPSMT"/>
        </w:rPr>
        <w:t>faculty, at leas</w:t>
      </w:r>
      <w:r w:rsidR="004141DC">
        <w:rPr>
          <w:rFonts w:ascii="TimesNewRomanPSMT" w:hAnsi="TimesNewRomanPSMT" w:cs="TimesNewRomanPSMT"/>
        </w:rPr>
        <w:t>t as measured by compensation.  In fact, growth in</w:t>
      </w:r>
      <w:r w:rsidR="00412BDD">
        <w:rPr>
          <w:rFonts w:ascii="TimesNewRomanPSMT" w:hAnsi="TimesNewRomanPSMT" w:cs="TimesNewRomanPSMT"/>
        </w:rPr>
        <w:t xml:space="preserve"> total compensation, </w:t>
      </w:r>
      <w:r w:rsidR="004141DC">
        <w:rPr>
          <w:rFonts w:ascii="TimesNewRomanPSMT" w:hAnsi="TimesNewRomanPSMT" w:cs="TimesNewRomanPSMT"/>
        </w:rPr>
        <w:t>FTE count, and average compensation (total compensation/total FTE count) from 2005 to 2015 is given in a table below.</w:t>
      </w:r>
      <w:r w:rsidR="005A675C">
        <w:rPr>
          <w:rFonts w:ascii="TimesNewRomanPSMT" w:hAnsi="TimesNewRomanPSMT" w:cs="TimesNewRomanPSMT"/>
        </w:rPr>
        <w:t xml:space="preserve">  Furthermore, it is growing faster than at the other PSEA institutions. (See graph, below.)</w:t>
      </w:r>
    </w:p>
    <w:p w14:paraId="13D61FA0" w14:textId="77777777" w:rsidR="00D02047" w:rsidRDefault="00D02047" w:rsidP="004C01C6">
      <w:pPr>
        <w:rPr>
          <w:rFonts w:ascii="TimesNewRomanPSMT" w:hAnsi="TimesNewRomanPSMT" w:cs="TimesNewRomanPSMT"/>
        </w:rPr>
      </w:pPr>
    </w:p>
    <w:p w14:paraId="7235C4F3" w14:textId="77777777" w:rsidR="005A675C" w:rsidRPr="00DE683C" w:rsidRDefault="005A675C" w:rsidP="005A675C">
      <w:pPr>
        <w:rPr>
          <w:rFonts w:ascii="Times New Roman" w:hAnsi="Times New Roman" w:cs="Times New Roman"/>
          <w:lang w:val="en-CA"/>
        </w:rPr>
      </w:pPr>
      <w:r w:rsidRPr="00DE683C">
        <w:rPr>
          <w:rFonts w:ascii="Times New Roman" w:hAnsi="Times New Roman" w:cs="Times New Roman"/>
          <w:lang w:val="en-CA"/>
        </w:rPr>
        <w:t xml:space="preserve">In spite of the </w:t>
      </w:r>
      <w:proofErr w:type="gramStart"/>
      <w:r w:rsidRPr="00DE683C">
        <w:rPr>
          <w:rFonts w:ascii="Times New Roman" w:hAnsi="Times New Roman" w:cs="Times New Roman"/>
          <w:lang w:val="en-CA"/>
        </w:rPr>
        <w:t>wage</w:t>
      </w:r>
      <w:r>
        <w:rPr>
          <w:rFonts w:ascii="Times New Roman" w:hAnsi="Times New Roman" w:cs="Times New Roman"/>
          <w:lang w:val="en-CA"/>
        </w:rPr>
        <w:t>-freeze</w:t>
      </w:r>
      <w:proofErr w:type="gramEnd"/>
      <w:r>
        <w:rPr>
          <w:rFonts w:ascii="Times New Roman" w:hAnsi="Times New Roman" w:cs="Times New Roman"/>
          <w:lang w:val="en-CA"/>
        </w:rPr>
        <w:t xml:space="preserve"> that administrators have withstood, average compensation to administrators has increased at a greater rate than compensation to faculty in the same period.  The growth in administrators (47.5% over the decade) is not immediately ascribable to a growth in the business of the University: overall enrolment grew by only 14.3% between 2006 and 2016 (data for 2005 was unavailable).  Data regarding compensation is from the Human Resources </w:t>
      </w:r>
      <w:proofErr w:type="spellStart"/>
      <w:r>
        <w:rPr>
          <w:rFonts w:ascii="Times New Roman" w:hAnsi="Times New Roman" w:cs="Times New Roman"/>
          <w:lang w:val="en-CA"/>
        </w:rPr>
        <w:lastRenderedPageBreak/>
        <w:t>DataBase</w:t>
      </w:r>
      <w:proofErr w:type="spellEnd"/>
      <w:r>
        <w:rPr>
          <w:rFonts w:ascii="Times New Roman" w:hAnsi="Times New Roman" w:cs="Times New Roman"/>
          <w:lang w:val="en-CA"/>
        </w:rPr>
        <w:t xml:space="preserve"> (HRDB) at PSEA; enrolment data is in the enrolment reports at </w:t>
      </w:r>
      <w:r w:rsidRPr="005A675C">
        <w:rPr>
          <w:rFonts w:ascii="Times New Roman" w:hAnsi="Times New Roman" w:cs="Times New Roman"/>
          <w:lang w:val="en-CA"/>
        </w:rPr>
        <w:t>https://www2.v</w:t>
      </w:r>
      <w:r>
        <w:rPr>
          <w:rFonts w:ascii="Times New Roman" w:hAnsi="Times New Roman" w:cs="Times New Roman"/>
          <w:lang w:val="en-CA"/>
        </w:rPr>
        <w:t>iu.ca/upa/keydocuments.</w:t>
      </w:r>
    </w:p>
    <w:p w14:paraId="1627107F" w14:textId="77777777" w:rsidR="004C01C6" w:rsidRDefault="004C01C6" w:rsidP="004C01C6">
      <w:pPr>
        <w:rPr>
          <w:rFonts w:ascii="TimesNewRomanPSMT" w:hAnsi="TimesNewRomanPSMT" w:cs="TimesNewRomanPSMT"/>
        </w:rPr>
      </w:pPr>
    </w:p>
    <w:p w14:paraId="2167B425" w14:textId="69705984" w:rsidR="00705895" w:rsidRPr="004C01C6" w:rsidRDefault="00705895" w:rsidP="004C01C6">
      <w:pPr>
        <w:rPr>
          <w:rFonts w:ascii="Times New Roman" w:hAnsi="Times New Roman" w:cs="Times New Roman"/>
          <w:lang w:val="en-CA"/>
        </w:rPr>
      </w:pPr>
      <w:r>
        <w:rPr>
          <w:noProof/>
        </w:rPr>
        <w:drawing>
          <wp:inline distT="0" distB="0" distL="0" distR="0" wp14:anchorId="2276BB59" wp14:editId="0DD88F33">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58CAC5" w14:textId="77777777" w:rsidR="00705895" w:rsidRDefault="00705895" w:rsidP="00705895">
      <w:pPr>
        <w:rPr>
          <w:lang w:val="en-CA"/>
        </w:rPr>
      </w:pPr>
    </w:p>
    <w:p w14:paraId="0E38B906" w14:textId="77777777" w:rsidR="009B6C04" w:rsidRDefault="009B6C04" w:rsidP="00705895">
      <w:pPr>
        <w:rPr>
          <w:lang w:val="en-CA"/>
        </w:rPr>
      </w:pPr>
    </w:p>
    <w:tbl>
      <w:tblPr>
        <w:tblStyle w:val="TableGrid"/>
        <w:tblW w:w="0" w:type="auto"/>
        <w:tblLook w:val="04A0" w:firstRow="1" w:lastRow="0" w:firstColumn="1" w:lastColumn="0" w:noHBand="0" w:noVBand="1"/>
      </w:tblPr>
      <w:tblGrid>
        <w:gridCol w:w="2337"/>
        <w:gridCol w:w="2337"/>
        <w:gridCol w:w="2338"/>
        <w:gridCol w:w="2338"/>
      </w:tblGrid>
      <w:tr w:rsidR="00C748F9" w14:paraId="48F97614" w14:textId="77777777" w:rsidTr="00C748F9">
        <w:tc>
          <w:tcPr>
            <w:tcW w:w="2337" w:type="dxa"/>
          </w:tcPr>
          <w:p w14:paraId="515BDC3D" w14:textId="2290A870" w:rsidR="00C748F9" w:rsidRDefault="00C748F9" w:rsidP="00705895">
            <w:pPr>
              <w:rPr>
                <w:lang w:val="en-CA"/>
              </w:rPr>
            </w:pPr>
          </w:p>
        </w:tc>
        <w:tc>
          <w:tcPr>
            <w:tcW w:w="2337" w:type="dxa"/>
          </w:tcPr>
          <w:p w14:paraId="4C1CE14F" w14:textId="1A740A44" w:rsidR="00C748F9" w:rsidRDefault="00DE683C" w:rsidP="00705895">
            <w:pPr>
              <w:rPr>
                <w:lang w:val="en-CA"/>
              </w:rPr>
            </w:pPr>
            <w:r>
              <w:rPr>
                <w:lang w:val="en-CA"/>
              </w:rPr>
              <w:t xml:space="preserve">Increase in </w:t>
            </w:r>
            <w:r w:rsidR="009A1383">
              <w:rPr>
                <w:lang w:val="en-CA"/>
              </w:rPr>
              <w:t xml:space="preserve">number of </w:t>
            </w:r>
            <w:r>
              <w:rPr>
                <w:lang w:val="en-CA"/>
              </w:rPr>
              <w:t>FTE</w:t>
            </w:r>
            <w:r w:rsidR="00412BDD">
              <w:rPr>
                <w:lang w:val="en-CA"/>
              </w:rPr>
              <w:t xml:space="preserve"> (2005-2015)</w:t>
            </w:r>
          </w:p>
        </w:tc>
        <w:tc>
          <w:tcPr>
            <w:tcW w:w="2338" w:type="dxa"/>
          </w:tcPr>
          <w:p w14:paraId="0AFC62AD" w14:textId="21679BE9" w:rsidR="00C748F9" w:rsidRDefault="00C748F9" w:rsidP="00705895">
            <w:pPr>
              <w:rPr>
                <w:lang w:val="en-CA"/>
              </w:rPr>
            </w:pPr>
            <w:r>
              <w:rPr>
                <w:lang w:val="en-CA"/>
              </w:rPr>
              <w:t>Increase in total compensation</w:t>
            </w:r>
            <w:r w:rsidR="00412BDD">
              <w:rPr>
                <w:lang w:val="en-CA"/>
              </w:rPr>
              <w:t xml:space="preserve"> (2005-2015)</w:t>
            </w:r>
          </w:p>
        </w:tc>
        <w:tc>
          <w:tcPr>
            <w:tcW w:w="2338" w:type="dxa"/>
          </w:tcPr>
          <w:p w14:paraId="0F624B8F" w14:textId="3E390A34" w:rsidR="00C748F9" w:rsidRDefault="00C748F9" w:rsidP="00705895">
            <w:pPr>
              <w:rPr>
                <w:lang w:val="en-CA"/>
              </w:rPr>
            </w:pPr>
            <w:r>
              <w:rPr>
                <w:lang w:val="en-CA"/>
              </w:rPr>
              <w:t>Increase in average compensation (per FTE)</w:t>
            </w:r>
            <w:r w:rsidR="00412BDD">
              <w:rPr>
                <w:lang w:val="en-CA"/>
              </w:rPr>
              <w:t xml:space="preserve"> 2005-2015</w:t>
            </w:r>
          </w:p>
        </w:tc>
      </w:tr>
      <w:tr w:rsidR="00C748F9" w14:paraId="0191CDE1" w14:textId="77777777" w:rsidTr="00C748F9">
        <w:tc>
          <w:tcPr>
            <w:tcW w:w="2337" w:type="dxa"/>
          </w:tcPr>
          <w:p w14:paraId="2533C1E5" w14:textId="27914FF0" w:rsidR="00C748F9" w:rsidRDefault="00C748F9" w:rsidP="00705895">
            <w:pPr>
              <w:rPr>
                <w:lang w:val="en-CA"/>
              </w:rPr>
            </w:pPr>
            <w:r>
              <w:rPr>
                <w:lang w:val="en-CA"/>
              </w:rPr>
              <w:t>Excluded Employees</w:t>
            </w:r>
          </w:p>
        </w:tc>
        <w:tc>
          <w:tcPr>
            <w:tcW w:w="2337" w:type="dxa"/>
          </w:tcPr>
          <w:p w14:paraId="4DA245DB" w14:textId="78A07978" w:rsidR="00C748F9" w:rsidRDefault="00DE683C" w:rsidP="00705895">
            <w:pPr>
              <w:rPr>
                <w:lang w:val="en-CA"/>
              </w:rPr>
            </w:pPr>
            <w:r>
              <w:rPr>
                <w:lang w:val="en-CA"/>
              </w:rPr>
              <w:t>47.5%</w:t>
            </w:r>
          </w:p>
        </w:tc>
        <w:tc>
          <w:tcPr>
            <w:tcW w:w="2338" w:type="dxa"/>
          </w:tcPr>
          <w:p w14:paraId="655ED054" w14:textId="3F60D79F" w:rsidR="00C748F9" w:rsidRDefault="00DE683C" w:rsidP="00705895">
            <w:pPr>
              <w:rPr>
                <w:lang w:val="en-CA"/>
              </w:rPr>
            </w:pPr>
            <w:r>
              <w:rPr>
                <w:lang w:val="en-CA"/>
              </w:rPr>
              <w:t>84.5%</w:t>
            </w:r>
          </w:p>
        </w:tc>
        <w:tc>
          <w:tcPr>
            <w:tcW w:w="2338" w:type="dxa"/>
          </w:tcPr>
          <w:p w14:paraId="016B0454" w14:textId="013CBF50" w:rsidR="00C748F9" w:rsidRDefault="00DE683C" w:rsidP="00705895">
            <w:pPr>
              <w:rPr>
                <w:lang w:val="en-CA"/>
              </w:rPr>
            </w:pPr>
            <w:r>
              <w:rPr>
                <w:lang w:val="en-CA"/>
              </w:rPr>
              <w:t>25.1%</w:t>
            </w:r>
          </w:p>
        </w:tc>
      </w:tr>
      <w:tr w:rsidR="00C748F9" w14:paraId="211718F5" w14:textId="77777777" w:rsidTr="00C748F9">
        <w:tc>
          <w:tcPr>
            <w:tcW w:w="2337" w:type="dxa"/>
          </w:tcPr>
          <w:p w14:paraId="5193EF87" w14:textId="0CB46E73" w:rsidR="00C748F9" w:rsidRDefault="00C748F9" w:rsidP="00705895">
            <w:pPr>
              <w:rPr>
                <w:lang w:val="en-CA"/>
              </w:rPr>
            </w:pPr>
            <w:r>
              <w:rPr>
                <w:lang w:val="en-CA"/>
              </w:rPr>
              <w:t>VIUFA</w:t>
            </w:r>
          </w:p>
        </w:tc>
        <w:tc>
          <w:tcPr>
            <w:tcW w:w="2337" w:type="dxa"/>
          </w:tcPr>
          <w:p w14:paraId="3358FBA0" w14:textId="0104C0F8" w:rsidR="00C748F9" w:rsidRDefault="00DE683C" w:rsidP="00705895">
            <w:pPr>
              <w:rPr>
                <w:lang w:val="en-CA"/>
              </w:rPr>
            </w:pPr>
            <w:r>
              <w:rPr>
                <w:lang w:val="en-CA"/>
              </w:rPr>
              <w:t>17.6%</w:t>
            </w:r>
          </w:p>
        </w:tc>
        <w:tc>
          <w:tcPr>
            <w:tcW w:w="2338" w:type="dxa"/>
          </w:tcPr>
          <w:p w14:paraId="77B9F1BA" w14:textId="2E6B903C" w:rsidR="00C748F9" w:rsidRDefault="00DE683C" w:rsidP="00705895">
            <w:pPr>
              <w:rPr>
                <w:lang w:val="en-CA"/>
              </w:rPr>
            </w:pPr>
            <w:r>
              <w:rPr>
                <w:lang w:val="en-CA"/>
              </w:rPr>
              <w:t>43.3%</w:t>
            </w:r>
          </w:p>
        </w:tc>
        <w:tc>
          <w:tcPr>
            <w:tcW w:w="2338" w:type="dxa"/>
          </w:tcPr>
          <w:p w14:paraId="337B6D26" w14:textId="6F8912BB" w:rsidR="00C748F9" w:rsidRDefault="00DE683C" w:rsidP="00705895">
            <w:pPr>
              <w:rPr>
                <w:lang w:val="en-CA"/>
              </w:rPr>
            </w:pPr>
            <w:r>
              <w:rPr>
                <w:lang w:val="en-CA"/>
              </w:rPr>
              <w:t>21.9%</w:t>
            </w:r>
          </w:p>
        </w:tc>
      </w:tr>
    </w:tbl>
    <w:p w14:paraId="7BA09099" w14:textId="77777777" w:rsidR="00C748F9" w:rsidRDefault="00C748F9" w:rsidP="00705895">
      <w:pPr>
        <w:rPr>
          <w:lang w:val="en-CA"/>
        </w:rPr>
      </w:pPr>
    </w:p>
    <w:p w14:paraId="559C52CD" w14:textId="77777777" w:rsidR="00C748F9" w:rsidRDefault="00C748F9" w:rsidP="00705895">
      <w:pPr>
        <w:rPr>
          <w:lang w:val="en-CA"/>
        </w:rPr>
      </w:pPr>
    </w:p>
    <w:p w14:paraId="311EDB2B" w14:textId="1676C759" w:rsidR="009B6C04" w:rsidRDefault="009B6C04" w:rsidP="00705895">
      <w:pPr>
        <w:rPr>
          <w:rFonts w:ascii="Times New Roman" w:hAnsi="Times New Roman" w:cs="Times New Roman"/>
          <w:lang w:val="en-CA"/>
        </w:rPr>
      </w:pPr>
      <w:r>
        <w:rPr>
          <w:rFonts w:ascii="Times New Roman" w:hAnsi="Times New Roman" w:cs="Times New Roman"/>
          <w:lang w:val="en-CA"/>
        </w:rPr>
        <w:t>Other Committee Work:</w:t>
      </w:r>
    </w:p>
    <w:p w14:paraId="078F1073" w14:textId="0353C301" w:rsidR="009B6C04" w:rsidRDefault="009B6C04" w:rsidP="00705895">
      <w:pPr>
        <w:rPr>
          <w:rFonts w:ascii="Times New Roman" w:hAnsi="Times New Roman" w:cs="Times New Roman"/>
          <w:lang w:val="en-CA"/>
        </w:rPr>
      </w:pPr>
      <w:r>
        <w:rPr>
          <w:rFonts w:ascii="Times New Roman" w:hAnsi="Times New Roman" w:cs="Times New Roman"/>
          <w:lang w:val="en-CA"/>
        </w:rPr>
        <w:t xml:space="preserve">I serve on the Labour/Management Committee on Workload, with the </w:t>
      </w:r>
      <w:proofErr w:type="spellStart"/>
      <w:r>
        <w:rPr>
          <w:rFonts w:ascii="Times New Roman" w:hAnsi="Times New Roman" w:cs="Times New Roman"/>
          <w:lang w:val="en-CA"/>
        </w:rPr>
        <w:t>Bargainer</w:t>
      </w:r>
      <w:proofErr w:type="spellEnd"/>
      <w:r>
        <w:rPr>
          <w:rFonts w:ascii="Times New Roman" w:hAnsi="Times New Roman" w:cs="Times New Roman"/>
          <w:lang w:val="en-CA"/>
        </w:rPr>
        <w:t xml:space="preserve"> Laura </w:t>
      </w:r>
      <w:proofErr w:type="spellStart"/>
      <w:r>
        <w:rPr>
          <w:rFonts w:ascii="Times New Roman" w:hAnsi="Times New Roman" w:cs="Times New Roman"/>
          <w:lang w:val="en-CA"/>
        </w:rPr>
        <w:t>Suski</w:t>
      </w:r>
      <w:proofErr w:type="spellEnd"/>
      <w:r>
        <w:rPr>
          <w:rFonts w:ascii="Times New Roman" w:hAnsi="Times New Roman" w:cs="Times New Roman"/>
          <w:lang w:val="en-CA"/>
        </w:rPr>
        <w:t xml:space="preserve"> and Chief Steward Colleen Price.  We have met approximately five times this year with the Provost and have been joined by experts from HR and from the University Analysis Office.  </w:t>
      </w:r>
    </w:p>
    <w:p w14:paraId="3CA1A294" w14:textId="77777777" w:rsidR="004141DC" w:rsidRDefault="004141DC" w:rsidP="00705895">
      <w:pPr>
        <w:rPr>
          <w:rFonts w:ascii="Times New Roman" w:hAnsi="Times New Roman" w:cs="Times New Roman"/>
          <w:lang w:val="en-CA"/>
        </w:rPr>
      </w:pPr>
    </w:p>
    <w:p w14:paraId="1FE6DF22" w14:textId="13D1957E" w:rsidR="004141DC" w:rsidRDefault="004141DC" w:rsidP="00705895">
      <w:pPr>
        <w:rPr>
          <w:rFonts w:ascii="Times New Roman" w:hAnsi="Times New Roman" w:cs="Times New Roman"/>
          <w:lang w:val="en-CA"/>
        </w:rPr>
      </w:pPr>
      <w:r>
        <w:rPr>
          <w:rFonts w:ascii="Times New Roman" w:hAnsi="Times New Roman" w:cs="Times New Roman"/>
          <w:lang w:val="en-CA"/>
        </w:rPr>
        <w:t xml:space="preserve">I </w:t>
      </w:r>
      <w:r w:rsidR="005A675C">
        <w:rPr>
          <w:rFonts w:ascii="Times New Roman" w:hAnsi="Times New Roman" w:cs="Times New Roman"/>
          <w:lang w:val="en-CA"/>
        </w:rPr>
        <w:t xml:space="preserve">also </w:t>
      </w:r>
      <w:r>
        <w:rPr>
          <w:rFonts w:ascii="Times New Roman" w:hAnsi="Times New Roman" w:cs="Times New Roman"/>
          <w:lang w:val="en-CA"/>
        </w:rPr>
        <w:t>sit on the committee on Self-Directed Evaluation</w:t>
      </w:r>
      <w:r w:rsidR="00C748F9">
        <w:rPr>
          <w:rFonts w:ascii="Times New Roman" w:hAnsi="Times New Roman" w:cs="Times New Roman"/>
          <w:lang w:val="en-CA"/>
        </w:rPr>
        <w:t>, charged with initiating the development of infrastructure to support the new Collective Agreement provisions for faculty to engage in Self-Directed Formative Evaluation.</w:t>
      </w:r>
      <w:r>
        <w:rPr>
          <w:rFonts w:ascii="Times New Roman" w:hAnsi="Times New Roman" w:cs="Times New Roman"/>
          <w:lang w:val="en-CA"/>
        </w:rPr>
        <w:t xml:space="preserve"> </w:t>
      </w:r>
      <w:r w:rsidR="005A675C">
        <w:rPr>
          <w:rFonts w:ascii="Times New Roman" w:hAnsi="Times New Roman" w:cs="Times New Roman"/>
          <w:lang w:val="en-CA"/>
        </w:rPr>
        <w:t xml:space="preserve"> We are working towards facilitating faculty members in their effort to undertake evaluation that will help them develop as teachers, scholars, and academics.  The evaluations under this new provision are to be undertaken every three to five years by faculty; the selection of the evaluation tools, and the results of the evaluation, stay with the faculty member.</w:t>
      </w:r>
    </w:p>
    <w:p w14:paraId="6A60B5F2" w14:textId="77777777" w:rsidR="005A675C" w:rsidRDefault="005A675C" w:rsidP="00705895">
      <w:pPr>
        <w:rPr>
          <w:rFonts w:ascii="Times New Roman" w:hAnsi="Times New Roman" w:cs="Times New Roman"/>
          <w:lang w:val="en-CA"/>
        </w:rPr>
      </w:pPr>
    </w:p>
    <w:p w14:paraId="1B310771" w14:textId="77777777" w:rsidR="005A675C" w:rsidRDefault="005A675C" w:rsidP="00705895">
      <w:pPr>
        <w:rPr>
          <w:rFonts w:ascii="Times New Roman" w:hAnsi="Times New Roman" w:cs="Times New Roman"/>
          <w:lang w:val="en-CA"/>
        </w:rPr>
      </w:pPr>
    </w:p>
    <w:p w14:paraId="42F73D90" w14:textId="30197B79" w:rsidR="005A675C" w:rsidRDefault="005A675C" w:rsidP="00705895">
      <w:pPr>
        <w:rPr>
          <w:rFonts w:ascii="Times New Roman" w:hAnsi="Times New Roman" w:cs="Times New Roman"/>
          <w:lang w:val="en-CA"/>
        </w:rPr>
      </w:pPr>
      <w:r>
        <w:rPr>
          <w:rFonts w:ascii="Times New Roman" w:hAnsi="Times New Roman" w:cs="Times New Roman"/>
          <w:lang w:val="en-CA"/>
        </w:rPr>
        <w:t>Respectfully submitted,</w:t>
      </w:r>
    </w:p>
    <w:p w14:paraId="5CA2A2A1" w14:textId="1FDE2CF7" w:rsidR="005A675C" w:rsidRDefault="005A675C" w:rsidP="00705895">
      <w:pPr>
        <w:rPr>
          <w:rFonts w:ascii="Times New Roman" w:hAnsi="Times New Roman" w:cs="Times New Roman"/>
          <w:lang w:val="en-CA"/>
        </w:rPr>
      </w:pPr>
      <w:proofErr w:type="spellStart"/>
      <w:r>
        <w:rPr>
          <w:rFonts w:ascii="Times New Roman" w:hAnsi="Times New Roman" w:cs="Times New Roman"/>
          <w:lang w:val="en-CA"/>
        </w:rPr>
        <w:t>Gara</w:t>
      </w:r>
      <w:proofErr w:type="spellEnd"/>
      <w:r>
        <w:rPr>
          <w:rFonts w:ascii="Times New Roman" w:hAnsi="Times New Roman" w:cs="Times New Roman"/>
          <w:lang w:val="en-CA"/>
        </w:rPr>
        <w:t xml:space="preserve"> </w:t>
      </w:r>
      <w:proofErr w:type="spellStart"/>
      <w:r>
        <w:rPr>
          <w:rFonts w:ascii="Times New Roman" w:hAnsi="Times New Roman" w:cs="Times New Roman"/>
          <w:lang w:val="en-CA"/>
        </w:rPr>
        <w:t>Pruesse</w:t>
      </w:r>
      <w:proofErr w:type="spellEnd"/>
    </w:p>
    <w:p w14:paraId="296FCB7C" w14:textId="4C4FF643" w:rsidR="005A675C" w:rsidRPr="009B6C04" w:rsidRDefault="005A675C" w:rsidP="00705895">
      <w:pPr>
        <w:rPr>
          <w:rFonts w:ascii="Times New Roman" w:hAnsi="Times New Roman" w:cs="Times New Roman"/>
          <w:lang w:val="en-CA"/>
        </w:rPr>
      </w:pPr>
      <w:r>
        <w:rPr>
          <w:rFonts w:ascii="Times New Roman" w:hAnsi="Times New Roman" w:cs="Times New Roman"/>
          <w:lang w:val="en-CA"/>
        </w:rPr>
        <w:t xml:space="preserve">Chair, Budgetary Analysis Committee, </w:t>
      </w:r>
      <w:bookmarkStart w:id="0" w:name="_GoBack"/>
      <w:bookmarkEnd w:id="0"/>
      <w:r>
        <w:rPr>
          <w:rFonts w:ascii="Times New Roman" w:hAnsi="Times New Roman" w:cs="Times New Roman"/>
          <w:lang w:val="en-CA"/>
        </w:rPr>
        <w:t>April 2017</w:t>
      </w:r>
    </w:p>
    <w:sectPr w:rsidR="005A675C" w:rsidRPr="009B6C04" w:rsidSect="00F617CE">
      <w:pgSz w:w="12240" w:h="15840"/>
      <w:pgMar w:top="1152" w:right="1440" w:bottom="12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0457"/>
    <w:multiLevelType w:val="multilevel"/>
    <w:tmpl w:val="6AA4A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374DD4"/>
    <w:multiLevelType w:val="multilevel"/>
    <w:tmpl w:val="1254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630F27"/>
    <w:multiLevelType w:val="hybridMultilevel"/>
    <w:tmpl w:val="E7C8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65"/>
    <w:rsid w:val="00055FA0"/>
    <w:rsid w:val="0039535D"/>
    <w:rsid w:val="00411545"/>
    <w:rsid w:val="00412BDD"/>
    <w:rsid w:val="004141DC"/>
    <w:rsid w:val="004478D6"/>
    <w:rsid w:val="004776F8"/>
    <w:rsid w:val="004C01C6"/>
    <w:rsid w:val="00507765"/>
    <w:rsid w:val="00562107"/>
    <w:rsid w:val="005A675C"/>
    <w:rsid w:val="00705895"/>
    <w:rsid w:val="0071178C"/>
    <w:rsid w:val="007228D7"/>
    <w:rsid w:val="008B0F88"/>
    <w:rsid w:val="00941587"/>
    <w:rsid w:val="009A1383"/>
    <w:rsid w:val="009B6C04"/>
    <w:rsid w:val="00A212F6"/>
    <w:rsid w:val="00A87443"/>
    <w:rsid w:val="00AB0C64"/>
    <w:rsid w:val="00C4356A"/>
    <w:rsid w:val="00C748F9"/>
    <w:rsid w:val="00CE1E5B"/>
    <w:rsid w:val="00D02047"/>
    <w:rsid w:val="00DE683C"/>
    <w:rsid w:val="00F617CE"/>
    <w:rsid w:val="00FF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E37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8C"/>
    <w:pPr>
      <w:ind w:left="720"/>
      <w:contextualSpacing/>
    </w:pPr>
  </w:style>
  <w:style w:type="paragraph" w:styleId="NormalWeb">
    <w:name w:val="Normal (Web)"/>
    <w:basedOn w:val="Normal"/>
    <w:uiPriority w:val="99"/>
    <w:unhideWhenUsed/>
    <w:rsid w:val="0041154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C74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7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8C"/>
    <w:pPr>
      <w:ind w:left="720"/>
      <w:contextualSpacing/>
    </w:pPr>
  </w:style>
  <w:style w:type="paragraph" w:styleId="NormalWeb">
    <w:name w:val="Normal (Web)"/>
    <w:basedOn w:val="Normal"/>
    <w:uiPriority w:val="99"/>
    <w:unhideWhenUsed/>
    <w:rsid w:val="0041154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C74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7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7955">
      <w:bodyDiv w:val="1"/>
      <w:marLeft w:val="0"/>
      <w:marRight w:val="0"/>
      <w:marTop w:val="0"/>
      <w:marBottom w:val="0"/>
      <w:divBdr>
        <w:top w:val="none" w:sz="0" w:space="0" w:color="auto"/>
        <w:left w:val="none" w:sz="0" w:space="0" w:color="auto"/>
        <w:bottom w:val="none" w:sz="0" w:space="0" w:color="auto"/>
        <w:right w:val="none" w:sz="0" w:space="0" w:color="auto"/>
      </w:divBdr>
      <w:divsChild>
        <w:div w:id="1025716087">
          <w:marLeft w:val="0"/>
          <w:marRight w:val="0"/>
          <w:marTop w:val="0"/>
          <w:marBottom w:val="0"/>
          <w:divBdr>
            <w:top w:val="none" w:sz="0" w:space="0" w:color="auto"/>
            <w:left w:val="none" w:sz="0" w:space="0" w:color="auto"/>
            <w:bottom w:val="none" w:sz="0" w:space="0" w:color="auto"/>
            <w:right w:val="none" w:sz="0" w:space="0" w:color="auto"/>
          </w:divBdr>
          <w:divsChild>
            <w:div w:id="1455172849">
              <w:marLeft w:val="0"/>
              <w:marRight w:val="0"/>
              <w:marTop w:val="0"/>
              <w:marBottom w:val="0"/>
              <w:divBdr>
                <w:top w:val="none" w:sz="0" w:space="0" w:color="auto"/>
                <w:left w:val="none" w:sz="0" w:space="0" w:color="auto"/>
                <w:bottom w:val="none" w:sz="0" w:space="0" w:color="auto"/>
                <w:right w:val="none" w:sz="0" w:space="0" w:color="auto"/>
              </w:divBdr>
              <w:divsChild>
                <w:div w:id="15504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3411">
          <w:marLeft w:val="0"/>
          <w:marRight w:val="0"/>
          <w:marTop w:val="0"/>
          <w:marBottom w:val="0"/>
          <w:divBdr>
            <w:top w:val="none" w:sz="0" w:space="0" w:color="auto"/>
            <w:left w:val="none" w:sz="0" w:space="0" w:color="auto"/>
            <w:bottom w:val="none" w:sz="0" w:space="0" w:color="auto"/>
            <w:right w:val="none" w:sz="0" w:space="0" w:color="auto"/>
          </w:divBdr>
          <w:divsChild>
            <w:div w:id="1876653609">
              <w:marLeft w:val="0"/>
              <w:marRight w:val="0"/>
              <w:marTop w:val="0"/>
              <w:marBottom w:val="0"/>
              <w:divBdr>
                <w:top w:val="none" w:sz="0" w:space="0" w:color="auto"/>
                <w:left w:val="none" w:sz="0" w:space="0" w:color="auto"/>
                <w:bottom w:val="none" w:sz="0" w:space="0" w:color="auto"/>
                <w:right w:val="none" w:sz="0" w:space="0" w:color="auto"/>
              </w:divBdr>
              <w:divsChild>
                <w:div w:id="88546469">
                  <w:marLeft w:val="0"/>
                  <w:marRight w:val="0"/>
                  <w:marTop w:val="0"/>
                  <w:marBottom w:val="0"/>
                  <w:divBdr>
                    <w:top w:val="none" w:sz="0" w:space="0" w:color="auto"/>
                    <w:left w:val="none" w:sz="0" w:space="0" w:color="auto"/>
                    <w:bottom w:val="none" w:sz="0" w:space="0" w:color="auto"/>
                    <w:right w:val="none" w:sz="0" w:space="0" w:color="auto"/>
                  </w:divBdr>
                </w:div>
              </w:divsChild>
            </w:div>
            <w:div w:id="7562116">
              <w:marLeft w:val="0"/>
              <w:marRight w:val="0"/>
              <w:marTop w:val="0"/>
              <w:marBottom w:val="0"/>
              <w:divBdr>
                <w:top w:val="none" w:sz="0" w:space="0" w:color="auto"/>
                <w:left w:val="none" w:sz="0" w:space="0" w:color="auto"/>
                <w:bottom w:val="none" w:sz="0" w:space="0" w:color="auto"/>
                <w:right w:val="none" w:sz="0" w:space="0" w:color="auto"/>
              </w:divBdr>
              <w:divsChild>
                <w:div w:id="6878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Excluded Compensation as percent of Faculty Compensation</a:t>
            </a:r>
          </a:p>
        </c:rich>
      </c:tx>
      <c:layout/>
      <c:overlay val="0"/>
      <c:spPr>
        <a:noFill/>
        <a:ln>
          <a:noFill/>
        </a:ln>
        <a:effectLst/>
      </c:spPr>
    </c:title>
    <c:autoTitleDeleted val="0"/>
    <c:plotArea>
      <c:layout/>
      <c:lineChart>
        <c:grouping val="standard"/>
        <c:varyColors val="0"/>
        <c:ser>
          <c:idx val="0"/>
          <c:order val="0"/>
          <c:tx>
            <c:strRef>
              <c:f>Sheet1!$B$1</c:f>
              <c:strCache>
                <c:ptCount val="1"/>
                <c:pt idx="0">
                  <c:v>nonVIU</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Sheet1!$A$2:$A$12</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cat>
          <c:val>
            <c:numRef>
              <c:f>Sheet1!$B$2:$B$12</c:f>
              <c:numCache>
                <c:formatCode>General</c:formatCode>
                <c:ptCount val="11"/>
                <c:pt idx="0">
                  <c:v>24.76</c:v>
                </c:pt>
                <c:pt idx="1">
                  <c:v>26.058</c:v>
                </c:pt>
                <c:pt idx="2">
                  <c:v>24.654</c:v>
                </c:pt>
                <c:pt idx="3">
                  <c:v>23.5273</c:v>
                </c:pt>
                <c:pt idx="4">
                  <c:v>25.7578</c:v>
                </c:pt>
                <c:pt idx="5">
                  <c:v>24.65548</c:v>
                </c:pt>
                <c:pt idx="6">
                  <c:v>25.6104</c:v>
                </c:pt>
                <c:pt idx="7">
                  <c:v>26.1718</c:v>
                </c:pt>
                <c:pt idx="8">
                  <c:v>26.4862</c:v>
                </c:pt>
                <c:pt idx="9">
                  <c:v>26.06896</c:v>
                </c:pt>
                <c:pt idx="10">
                  <c:v>26.82407</c:v>
                </c:pt>
              </c:numCache>
            </c:numRef>
          </c:val>
          <c:smooth val="0"/>
        </c:ser>
        <c:ser>
          <c:idx val="1"/>
          <c:order val="1"/>
          <c:tx>
            <c:strRef>
              <c:f>Sheet1!$C$1</c:f>
              <c:strCache>
                <c:ptCount val="1"/>
                <c:pt idx="0">
                  <c:v>VIU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Sheet1!$A$2:$A$12</c:f>
              <c:numCache>
                <c:formatCode>General</c:formatCode>
                <c:ptCount val="11"/>
                <c:pt idx="0">
                  <c:v>2005.0</c:v>
                </c:pt>
                <c:pt idx="1">
                  <c:v>2006.0</c:v>
                </c:pt>
                <c:pt idx="2">
                  <c:v>2007.0</c:v>
                </c:pt>
                <c:pt idx="3">
                  <c:v>2008.0</c:v>
                </c:pt>
                <c:pt idx="4">
                  <c:v>2009.0</c:v>
                </c:pt>
                <c:pt idx="5">
                  <c:v>2010.0</c:v>
                </c:pt>
                <c:pt idx="6">
                  <c:v>2011.0</c:v>
                </c:pt>
                <c:pt idx="7">
                  <c:v>2012.0</c:v>
                </c:pt>
                <c:pt idx="8">
                  <c:v>2013.0</c:v>
                </c:pt>
                <c:pt idx="9">
                  <c:v>2014.0</c:v>
                </c:pt>
                <c:pt idx="10">
                  <c:v>2015.0</c:v>
                </c:pt>
              </c:numCache>
            </c:numRef>
          </c:cat>
          <c:val>
            <c:numRef>
              <c:f>Sheet1!$C$2:$C$12</c:f>
              <c:numCache>
                <c:formatCode>General</c:formatCode>
                <c:ptCount val="11"/>
                <c:pt idx="0">
                  <c:v>25.4945</c:v>
                </c:pt>
                <c:pt idx="1">
                  <c:v>26.3549</c:v>
                </c:pt>
                <c:pt idx="2">
                  <c:v>28.0858</c:v>
                </c:pt>
                <c:pt idx="3">
                  <c:v>27.3957</c:v>
                </c:pt>
                <c:pt idx="4">
                  <c:v>30.3346</c:v>
                </c:pt>
                <c:pt idx="5">
                  <c:v>29.9602</c:v>
                </c:pt>
                <c:pt idx="6">
                  <c:v>32.09537</c:v>
                </c:pt>
                <c:pt idx="7">
                  <c:v>30.533125</c:v>
                </c:pt>
                <c:pt idx="8">
                  <c:v>30.810806</c:v>
                </c:pt>
                <c:pt idx="9">
                  <c:v>32.915279</c:v>
                </c:pt>
                <c:pt idx="10">
                  <c:v>32.8277575</c:v>
                </c:pt>
              </c:numCache>
            </c:numRef>
          </c:val>
          <c:smooth val="0"/>
        </c:ser>
        <c:dLbls>
          <c:showLegendKey val="0"/>
          <c:showVal val="0"/>
          <c:showCatName val="0"/>
          <c:showSerName val="0"/>
          <c:showPercent val="0"/>
          <c:showBubbleSize val="0"/>
        </c:dLbls>
        <c:marker val="1"/>
        <c:smooth val="0"/>
        <c:axId val="2119090744"/>
        <c:axId val="2121228360"/>
      </c:lineChart>
      <c:catAx>
        <c:axId val="211909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228360"/>
        <c:crosses val="autoZero"/>
        <c:auto val="1"/>
        <c:lblAlgn val="ctr"/>
        <c:lblOffset val="100"/>
        <c:noMultiLvlLbl val="0"/>
      </c:catAx>
      <c:valAx>
        <c:axId val="2121228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090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3828</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VIU Faculty Association</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Judy Benner</cp:lastModifiedBy>
  <cp:revision>2</cp:revision>
  <cp:lastPrinted>2017-04-25T19:38:00Z</cp:lastPrinted>
  <dcterms:created xsi:type="dcterms:W3CDTF">2017-04-25T19:39:00Z</dcterms:created>
  <dcterms:modified xsi:type="dcterms:W3CDTF">2017-04-25T19:39:00Z</dcterms:modified>
</cp:coreProperties>
</file>